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C25" w:rsidRDefault="00C07C25" w:rsidP="001C37AE">
      <w:pPr>
        <w:pStyle w:val="a4"/>
      </w:pPr>
      <w:r>
        <w:t>МЕТОДИЧЕСКИЙ ВЕСТНИК. ВЫПУСК 20</w:t>
      </w:r>
      <w:bookmarkStart w:id="0" w:name="_GoBack"/>
      <w:bookmarkEnd w:id="0"/>
    </w:p>
    <w:p w:rsidR="001C37AE" w:rsidRDefault="001C37AE" w:rsidP="001C37AE">
      <w:pPr>
        <w:pStyle w:val="a4"/>
      </w:pPr>
      <w:r>
        <w:t>Порядок исключения документов</w:t>
      </w:r>
      <w:r>
        <w:br/>
        <w:t xml:space="preserve"> из единого фонда МБУК Ростовская-на-Дону городская ЦБС</w:t>
      </w:r>
    </w:p>
    <w:p w:rsidR="001C37AE" w:rsidRDefault="001C37AE" w:rsidP="001C37AE">
      <w:pPr>
        <w:pStyle w:val="a4"/>
        <w:rPr>
          <w:color w:val="000000"/>
        </w:rPr>
      </w:pPr>
      <w:r>
        <w:rPr>
          <w:color w:val="000000"/>
        </w:rPr>
        <w:t>методические рекомендации</w:t>
      </w:r>
    </w:p>
    <w:p w:rsidR="001C37AE" w:rsidRDefault="001C37AE" w:rsidP="001C37AE">
      <w:pPr>
        <w:pStyle w:val="a5"/>
        <w:jc w:val="both"/>
      </w:pPr>
      <w:r>
        <w:t xml:space="preserve">Исключение документов из единого фонда МБУК РГЦБС производится в соответствии с «Инструкцией о порядке исключения документов из единого фонда МБУК Ростовская-на-Дону городская ЦБС». Исключение печатных и других документов производится всеми структурными подразделениями МБУК Ростовская-на-Дону городская ЦБС на основе постоянного изучения состава и использования документного фонда. В соответствии </w:t>
      </w:r>
      <w:r>
        <w:rPr>
          <w:b/>
          <w:bCs/>
        </w:rPr>
        <w:t>с п. 5.14 Порядка учета документов, входящих в состав библиотечного фонда, утвержденного Приказом Министерства культуры Российской Федерации от 8 октября 2012 г. N 1077 г. Москва,</w:t>
      </w:r>
      <w:r>
        <w:t xml:space="preserve"> количество выбывающих документов не должно превышать количество вновь поступающих документов в библиотечный фонд. </w:t>
      </w:r>
    </w:p>
    <w:p w:rsidR="001C37AE" w:rsidRDefault="001C37AE" w:rsidP="001C37AE">
      <w:pPr>
        <w:pStyle w:val="a5"/>
        <w:jc w:val="both"/>
      </w:pPr>
      <w:r>
        <w:t xml:space="preserve">Норматив на исключение печатных и других документов, а также график по предоставлению актов на списание в </w:t>
      </w:r>
      <w:proofErr w:type="spellStart"/>
      <w:r>
        <w:t>ОКиО</w:t>
      </w:r>
      <w:proofErr w:type="spellEnd"/>
      <w:r>
        <w:t xml:space="preserve"> для структурных подразделений МБУК РГЦБС ежегодно устанавливается приказом директора по учреждению.</w:t>
      </w:r>
    </w:p>
    <w:p w:rsidR="001C37AE" w:rsidRDefault="001C37AE" w:rsidP="001C37AE">
      <w:pPr>
        <w:pStyle w:val="a5"/>
        <w:jc w:val="both"/>
        <w:rPr>
          <w:b/>
          <w:bCs/>
        </w:rPr>
      </w:pPr>
      <w:r>
        <w:rPr>
          <w:b/>
          <w:bCs/>
        </w:rPr>
        <w:t>Основанием для исключения документов из фондов библиотек служат следующие причины:</w:t>
      </w:r>
    </w:p>
    <w:p w:rsidR="001C37AE" w:rsidRDefault="001C37AE" w:rsidP="001C37AE">
      <w:pPr>
        <w:pStyle w:val="a5"/>
        <w:ind w:left="700" w:hanging="360"/>
        <w:jc w:val="both"/>
      </w:pPr>
      <w:r>
        <w:rPr>
          <w:b/>
          <w:bCs/>
        </w:rPr>
        <w:t>ветхость;</w:t>
      </w:r>
    </w:p>
    <w:p w:rsidR="001C37AE" w:rsidRDefault="001C37AE" w:rsidP="001C37AE">
      <w:pPr>
        <w:pStyle w:val="a5"/>
        <w:ind w:left="700" w:hanging="360"/>
        <w:jc w:val="both"/>
      </w:pPr>
      <w:r>
        <w:rPr>
          <w:b/>
          <w:bCs/>
        </w:rPr>
        <w:t>дефектность</w:t>
      </w:r>
      <w:r>
        <w:t xml:space="preserve"> (стертый текст, вырванные страницы, надписи и подчеркивания, затрудняющие чтение, неправильно сброшюрованные страницы и т. д.);</w:t>
      </w:r>
    </w:p>
    <w:p w:rsidR="001C37AE" w:rsidRDefault="001C37AE" w:rsidP="001C37AE">
      <w:pPr>
        <w:pStyle w:val="a5"/>
        <w:ind w:left="700" w:hanging="360"/>
        <w:jc w:val="both"/>
      </w:pPr>
      <w:r>
        <w:rPr>
          <w:b/>
          <w:bCs/>
        </w:rPr>
        <w:t xml:space="preserve">устарелость по содержанию </w:t>
      </w:r>
      <w:r>
        <w:t>(утрата документом практической и научной ценности);</w:t>
      </w:r>
    </w:p>
    <w:p w:rsidR="001C37AE" w:rsidRDefault="001C37AE" w:rsidP="001C37AE">
      <w:pPr>
        <w:pStyle w:val="a5"/>
        <w:ind w:left="700" w:hanging="360"/>
        <w:jc w:val="both"/>
      </w:pPr>
      <w:proofErr w:type="spellStart"/>
      <w:r>
        <w:rPr>
          <w:b/>
          <w:bCs/>
        </w:rPr>
        <w:t>непрофильность</w:t>
      </w:r>
      <w:proofErr w:type="spellEnd"/>
      <w:r>
        <w:t xml:space="preserve"> (несоответствие документа профилю комплектования фондов);</w:t>
      </w:r>
    </w:p>
    <w:p w:rsidR="001C37AE" w:rsidRDefault="001C37AE" w:rsidP="001C37AE">
      <w:pPr>
        <w:pStyle w:val="a5"/>
        <w:ind w:left="700" w:hanging="360"/>
        <w:jc w:val="both"/>
      </w:pPr>
      <w:r>
        <w:rPr>
          <w:b/>
          <w:bCs/>
        </w:rPr>
        <w:t xml:space="preserve">утрата. </w:t>
      </w:r>
      <w:r>
        <w:t>Утрата – пропажа документов из фондов открытого доступа, утеря или не возврат читателями, хищение, необратимая порча, утрата в результате бедствий стихийного, техногенного или социального характера, утрата по неустановленной причине (невозможность установления местонахождения документа), потеря электронных документов в результате вирусной или хакерской атаки. Утраченными в процессе хранения могут считаться документы, отсутствующие на месте по неустановленной причине в течение определенного периода, установленного библиотекой, после выявления их отсутствия (в течение трех лет) или после проверки всего фонда (двух плановых проверок), если пути розыска исчерпаны. Утраченными в процессе использования могут считаться документы, не возвращенные в фонд после выдачи пользователям (читателям, абонентам, сотрудникам ЦБС) в течение трех лет, если пути взаиморасчета и розыска исчерпаны;</w:t>
      </w:r>
    </w:p>
    <w:p w:rsidR="001C37AE" w:rsidRDefault="001C37AE" w:rsidP="001C37AE">
      <w:pPr>
        <w:pStyle w:val="a5"/>
        <w:ind w:left="700" w:hanging="360"/>
        <w:jc w:val="both"/>
      </w:pPr>
      <w:r>
        <w:rPr>
          <w:b/>
          <w:bCs/>
        </w:rPr>
        <w:t>внутреннее перемещение</w:t>
      </w:r>
      <w:r>
        <w:t xml:space="preserve"> (передача из одного структурного подразделения МБУК Ростовская-на-Дону городская ЦБС в другое).</w:t>
      </w:r>
    </w:p>
    <w:p w:rsidR="001C37AE" w:rsidRDefault="001C37AE" w:rsidP="001C37AE">
      <w:pPr>
        <w:pStyle w:val="a6"/>
      </w:pPr>
      <w:r>
        <w:t>Порядок отбора и списания документов из библиотечных фондов</w:t>
      </w:r>
    </w:p>
    <w:p w:rsidR="001C37AE" w:rsidRDefault="001C37AE" w:rsidP="001C37AE">
      <w:pPr>
        <w:pStyle w:val="a5"/>
        <w:ind w:left="700" w:hanging="360"/>
        <w:jc w:val="both"/>
      </w:pPr>
      <w:r>
        <w:t>Отбор ветхих, дефектных, устаревших по содержанию, непрофильных документов производится сотрудниками структурных подразделений МБУК Ростовская-на-Дону городская ЦБС. Контроль за отбором изданий осуществляют заведующие филиалами.</w:t>
      </w:r>
    </w:p>
    <w:p w:rsidR="001C37AE" w:rsidRDefault="001C37AE" w:rsidP="001C37AE">
      <w:pPr>
        <w:pStyle w:val="a5"/>
        <w:ind w:left="700" w:hanging="360"/>
        <w:jc w:val="both"/>
      </w:pPr>
      <w:r>
        <w:t>Выбытие документов из фонда оформляется актом об исключении документов и отражается в регистрах индивидуального и суммарного учета библиотечного фонда.</w:t>
      </w:r>
    </w:p>
    <w:p w:rsidR="001C37AE" w:rsidRDefault="001C37AE" w:rsidP="001C37AE">
      <w:pPr>
        <w:pStyle w:val="a6"/>
      </w:pPr>
      <w:r>
        <w:t>Порядок оформления актов</w:t>
      </w:r>
      <w:r>
        <w:br/>
        <w:t xml:space="preserve"> на исключение документов библиотечного фонда</w:t>
      </w:r>
    </w:p>
    <w:p w:rsidR="001C37AE" w:rsidRDefault="001C37AE" w:rsidP="001C37AE">
      <w:pPr>
        <w:pStyle w:val="a5"/>
        <w:jc w:val="both"/>
      </w:pPr>
      <w:r>
        <w:t xml:space="preserve">Перед составлением </w:t>
      </w:r>
      <w:r>
        <w:rPr>
          <w:b/>
          <w:bCs/>
        </w:rPr>
        <w:t>Акта об исключении документов из фонда библиотеки</w:t>
      </w:r>
      <w:r>
        <w:t xml:space="preserve">, данные на каждый исключаемый документ сверяются с регистрами индивидуального учета (учетный каталог, инвентарные книги) для выявления ранее списанных изданий, а также для проверки сведений об издании, указанных в книжном формуляре (автор, название, год издания, цена, шифр ББК). Выбытие документов из фонда оформляется актом об исключении. Оформление актов на исключение </w:t>
      </w:r>
      <w:r>
        <w:lastRenderedPageBreak/>
        <w:t>производится по установленной форме (см. «Инструкцией о порядке исключения документов из единого фонда МБУК Ростовская-на-Дону городская ЦБС»).</w:t>
      </w:r>
    </w:p>
    <w:p w:rsidR="001C37AE" w:rsidRDefault="001C37AE" w:rsidP="001C37AE">
      <w:pPr>
        <w:pStyle w:val="a5"/>
        <w:jc w:val="both"/>
        <w:rPr>
          <w:b/>
          <w:bCs/>
        </w:rPr>
      </w:pPr>
      <w:r>
        <w:rPr>
          <w:b/>
          <w:bCs/>
        </w:rPr>
        <w:t>По одному акту исключаются документы по какой-либо одной причине:</w:t>
      </w:r>
    </w:p>
    <w:p w:rsidR="001C37AE" w:rsidRDefault="001C37AE" w:rsidP="001C37AE">
      <w:pPr>
        <w:pStyle w:val="a5"/>
        <w:ind w:left="700" w:hanging="360"/>
        <w:jc w:val="both"/>
        <w:rPr>
          <w:i/>
          <w:iCs/>
        </w:rPr>
      </w:pPr>
      <w:r>
        <w:rPr>
          <w:i/>
          <w:iCs/>
        </w:rPr>
        <w:t>ветхость;</w:t>
      </w:r>
    </w:p>
    <w:p w:rsidR="001C37AE" w:rsidRDefault="001C37AE" w:rsidP="001C37AE">
      <w:pPr>
        <w:pStyle w:val="a5"/>
        <w:ind w:left="700" w:hanging="360"/>
        <w:jc w:val="both"/>
        <w:rPr>
          <w:i/>
          <w:iCs/>
        </w:rPr>
      </w:pPr>
      <w:r>
        <w:rPr>
          <w:i/>
          <w:iCs/>
        </w:rPr>
        <w:t>дефектность;</w:t>
      </w:r>
    </w:p>
    <w:p w:rsidR="001C37AE" w:rsidRDefault="001C37AE" w:rsidP="001C37AE">
      <w:pPr>
        <w:pStyle w:val="a5"/>
        <w:ind w:left="700" w:hanging="360"/>
        <w:jc w:val="both"/>
        <w:rPr>
          <w:i/>
          <w:iCs/>
        </w:rPr>
      </w:pPr>
      <w:r>
        <w:rPr>
          <w:i/>
          <w:iCs/>
        </w:rPr>
        <w:t>устарелость по содержанию;</w:t>
      </w:r>
    </w:p>
    <w:p w:rsidR="001C37AE" w:rsidRDefault="001C37AE" w:rsidP="001C37AE">
      <w:pPr>
        <w:pStyle w:val="a5"/>
        <w:ind w:left="700" w:hanging="360"/>
        <w:jc w:val="both"/>
        <w:rPr>
          <w:i/>
          <w:iCs/>
        </w:rPr>
      </w:pPr>
      <w:proofErr w:type="spellStart"/>
      <w:r>
        <w:rPr>
          <w:i/>
          <w:iCs/>
        </w:rPr>
        <w:t>непрофильность</w:t>
      </w:r>
      <w:proofErr w:type="spellEnd"/>
      <w:r>
        <w:rPr>
          <w:i/>
          <w:iCs/>
        </w:rPr>
        <w:t>;</w:t>
      </w:r>
    </w:p>
    <w:p w:rsidR="001C37AE" w:rsidRDefault="001C37AE" w:rsidP="001C37AE">
      <w:pPr>
        <w:pStyle w:val="a5"/>
        <w:ind w:left="700" w:hanging="360"/>
        <w:jc w:val="both"/>
        <w:rPr>
          <w:i/>
          <w:iCs/>
        </w:rPr>
      </w:pPr>
      <w:r>
        <w:rPr>
          <w:i/>
          <w:iCs/>
        </w:rPr>
        <w:t>утрата:</w:t>
      </w:r>
    </w:p>
    <w:p w:rsidR="001C37AE" w:rsidRDefault="001C37AE" w:rsidP="001C37AE">
      <w:pPr>
        <w:pStyle w:val="a5"/>
        <w:ind w:left="700" w:hanging="360"/>
        <w:jc w:val="both"/>
        <w:rPr>
          <w:i/>
          <w:iCs/>
        </w:rPr>
      </w:pPr>
      <w:r>
        <w:rPr>
          <w:i/>
          <w:iCs/>
        </w:rPr>
        <w:t>пропажа из фондов открытого доступа;</w:t>
      </w:r>
    </w:p>
    <w:p w:rsidR="001C37AE" w:rsidRDefault="001C37AE" w:rsidP="001C37AE">
      <w:pPr>
        <w:pStyle w:val="a5"/>
        <w:ind w:left="700" w:hanging="360"/>
        <w:jc w:val="both"/>
        <w:rPr>
          <w:i/>
          <w:iCs/>
        </w:rPr>
      </w:pPr>
      <w:r>
        <w:rPr>
          <w:i/>
          <w:iCs/>
        </w:rPr>
        <w:t xml:space="preserve"> утеря или не возврат пользователями;</w:t>
      </w:r>
    </w:p>
    <w:p w:rsidR="001C37AE" w:rsidRDefault="001C37AE" w:rsidP="001C37AE">
      <w:pPr>
        <w:pStyle w:val="a5"/>
        <w:ind w:left="700" w:hanging="360"/>
        <w:jc w:val="both"/>
        <w:rPr>
          <w:i/>
          <w:iCs/>
        </w:rPr>
      </w:pPr>
      <w:r>
        <w:rPr>
          <w:i/>
          <w:iCs/>
        </w:rPr>
        <w:t xml:space="preserve"> хищение;</w:t>
      </w:r>
    </w:p>
    <w:p w:rsidR="001C37AE" w:rsidRDefault="001C37AE" w:rsidP="001C37AE">
      <w:pPr>
        <w:pStyle w:val="a5"/>
        <w:ind w:left="700" w:hanging="360"/>
        <w:jc w:val="both"/>
        <w:rPr>
          <w:i/>
          <w:iCs/>
        </w:rPr>
      </w:pPr>
      <w:r>
        <w:rPr>
          <w:i/>
          <w:iCs/>
        </w:rPr>
        <w:t>необратимая порча, утрата в результате бедствий стихийного характера или техногенного характера;</w:t>
      </w:r>
    </w:p>
    <w:p w:rsidR="001C37AE" w:rsidRDefault="001C37AE" w:rsidP="001C37AE">
      <w:pPr>
        <w:pStyle w:val="a5"/>
        <w:ind w:left="700" w:hanging="360"/>
        <w:jc w:val="both"/>
        <w:rPr>
          <w:i/>
          <w:iCs/>
        </w:rPr>
      </w:pPr>
      <w:r>
        <w:rPr>
          <w:i/>
          <w:iCs/>
        </w:rPr>
        <w:t>внутреннее перемещение (передача из одного структурного подразделения МБУК Ростовская-на-Дону городская ЦБС в другое внутри).</w:t>
      </w:r>
    </w:p>
    <w:p w:rsidR="001C37AE" w:rsidRDefault="001C37AE" w:rsidP="001C37AE">
      <w:pPr>
        <w:pStyle w:val="a5"/>
        <w:jc w:val="both"/>
      </w:pPr>
    </w:p>
    <w:p w:rsidR="001C37AE" w:rsidRDefault="001C37AE" w:rsidP="001C37AE">
      <w:pPr>
        <w:pStyle w:val="a5"/>
        <w:jc w:val="both"/>
        <w:rPr>
          <w:b/>
          <w:bCs/>
        </w:rPr>
      </w:pPr>
      <w:r>
        <w:rPr>
          <w:b/>
          <w:bCs/>
        </w:rPr>
        <w:t>В акт о списании включается не более 500 экземпляров.</w:t>
      </w:r>
    </w:p>
    <w:p w:rsidR="001C37AE" w:rsidRDefault="001C37AE" w:rsidP="001C37AE">
      <w:pPr>
        <w:pStyle w:val="a5"/>
        <w:jc w:val="both"/>
      </w:pPr>
      <w:r>
        <w:t>На документы, исключаемые по причинам ветхости, устарелости по содержанию, утери (не возврат пользователями), утраты (хищение, необратимая порча, утрата в результате бедствий стихийного характера или техногенного характера) структурное подразделение составляет акт</w:t>
      </w:r>
      <w:r>
        <w:rPr>
          <w:b/>
          <w:bCs/>
        </w:rPr>
        <w:t xml:space="preserve"> в 3 экз. и список в 2 экз. по форме (код по ОКУД 0504144</w:t>
      </w:r>
      <w:r>
        <w:t xml:space="preserve">). </w:t>
      </w:r>
    </w:p>
    <w:p w:rsidR="001C37AE" w:rsidRDefault="001C37AE" w:rsidP="001C37AE">
      <w:pPr>
        <w:pStyle w:val="a5"/>
        <w:jc w:val="both"/>
      </w:pPr>
    </w:p>
    <w:p w:rsidR="001C37AE" w:rsidRDefault="001C37AE" w:rsidP="001C37AE">
      <w:pPr>
        <w:pStyle w:val="a7"/>
        <w:ind w:firstLine="0"/>
        <w:jc w:val="both"/>
      </w:pPr>
      <w:r>
        <w:rPr>
          <w:b/>
          <w:bCs/>
        </w:rPr>
        <w:t>Первый экземпляр</w:t>
      </w:r>
      <w:r>
        <w:t xml:space="preserve"> акта без списка передается в бухгалтерию. </w:t>
      </w:r>
    </w:p>
    <w:p w:rsidR="001C37AE" w:rsidRDefault="001C37AE" w:rsidP="001C37AE">
      <w:pPr>
        <w:pStyle w:val="a7"/>
        <w:ind w:firstLine="0"/>
        <w:jc w:val="both"/>
      </w:pPr>
      <w:r>
        <w:rPr>
          <w:b/>
          <w:bCs/>
        </w:rPr>
        <w:t>Второй экземпляр</w:t>
      </w:r>
      <w:r>
        <w:t xml:space="preserve"> акта и список – в </w:t>
      </w:r>
      <w:proofErr w:type="spellStart"/>
      <w:r>
        <w:t>ОКиО</w:t>
      </w:r>
      <w:proofErr w:type="spellEnd"/>
      <w:r>
        <w:t xml:space="preserve">. </w:t>
      </w:r>
    </w:p>
    <w:p w:rsidR="001C37AE" w:rsidRDefault="001C37AE" w:rsidP="001C37AE">
      <w:pPr>
        <w:pStyle w:val="a7"/>
        <w:ind w:firstLine="0"/>
        <w:jc w:val="both"/>
      </w:pPr>
      <w:r>
        <w:rPr>
          <w:b/>
          <w:bCs/>
        </w:rPr>
        <w:t xml:space="preserve">Третий экземпляр </w:t>
      </w:r>
      <w:r>
        <w:t xml:space="preserve">акта и список – возвращается в структурное подразделение. Исключение изданий с инвентарными номерами МБУК РГЦБС и инвентарными номерами структурного подразделения оформляются отдельными актами (кроме актов об исключении / приеме </w:t>
      </w:r>
      <w:proofErr w:type="gramStart"/>
      <w:r>
        <w:t>документов</w:t>
      </w:r>
      <w:proofErr w:type="gramEnd"/>
      <w:r>
        <w:t xml:space="preserve"> взамен утерянных пользователями).</w:t>
      </w:r>
    </w:p>
    <w:p w:rsidR="001C37AE" w:rsidRDefault="001C37AE" w:rsidP="001C37AE">
      <w:pPr>
        <w:pStyle w:val="a5"/>
        <w:jc w:val="both"/>
        <w:rPr>
          <w:b/>
          <w:bCs/>
        </w:rPr>
      </w:pPr>
    </w:p>
    <w:p w:rsidR="001C37AE" w:rsidRDefault="001C37AE" w:rsidP="001C37AE">
      <w:pPr>
        <w:pStyle w:val="a5"/>
        <w:jc w:val="both"/>
        <w:rPr>
          <w:b/>
          <w:bCs/>
        </w:rPr>
      </w:pPr>
      <w:r>
        <w:rPr>
          <w:b/>
          <w:bCs/>
        </w:rPr>
        <w:t>Список документов к акту оформляется:</w:t>
      </w:r>
    </w:p>
    <w:p w:rsidR="001C37AE" w:rsidRDefault="001C37AE" w:rsidP="001C37AE">
      <w:pPr>
        <w:pStyle w:val="a5"/>
        <w:ind w:left="700" w:hanging="360"/>
        <w:jc w:val="both"/>
        <w:rPr>
          <w:i/>
          <w:iCs/>
        </w:rPr>
      </w:pPr>
      <w:r>
        <w:rPr>
          <w:i/>
          <w:iCs/>
        </w:rPr>
        <w:t xml:space="preserve">документы, полученные из </w:t>
      </w:r>
      <w:proofErr w:type="spellStart"/>
      <w:r>
        <w:rPr>
          <w:i/>
          <w:iCs/>
        </w:rPr>
        <w:t>ОКиО</w:t>
      </w:r>
      <w:proofErr w:type="spellEnd"/>
      <w:r>
        <w:rPr>
          <w:i/>
          <w:iCs/>
        </w:rPr>
        <w:t xml:space="preserve"> ЦБ им. М. Горького в алфавитном порядке;</w:t>
      </w:r>
    </w:p>
    <w:p w:rsidR="001C37AE" w:rsidRDefault="001C37AE" w:rsidP="001C37AE">
      <w:pPr>
        <w:pStyle w:val="a5"/>
        <w:ind w:left="700" w:hanging="360"/>
        <w:jc w:val="both"/>
        <w:rPr>
          <w:i/>
          <w:iCs/>
        </w:rPr>
      </w:pPr>
      <w:r>
        <w:rPr>
          <w:i/>
          <w:iCs/>
        </w:rPr>
        <w:t>документы с инвентарными номерами структурного подразделения в порядке инвентарных номеров.</w:t>
      </w:r>
    </w:p>
    <w:p w:rsidR="001C37AE" w:rsidRDefault="001C37AE" w:rsidP="001C37AE">
      <w:pPr>
        <w:pStyle w:val="a5"/>
      </w:pPr>
    </w:p>
    <w:p w:rsidR="001C37AE" w:rsidRDefault="001C37AE" w:rsidP="001C37AE">
      <w:pPr>
        <w:pStyle w:val="a8"/>
        <w:jc w:val="both"/>
        <w:rPr>
          <w:b/>
          <w:bCs/>
        </w:rPr>
      </w:pPr>
      <w:r>
        <w:rPr>
          <w:b/>
          <w:bCs/>
          <w:color w:val="CD1619"/>
        </w:rPr>
        <w:t xml:space="preserve">Для предварительной проверки акты на исключение документов предоставляются в </w:t>
      </w:r>
      <w:proofErr w:type="spellStart"/>
      <w:r>
        <w:rPr>
          <w:b/>
          <w:bCs/>
          <w:color w:val="CD1619"/>
        </w:rPr>
        <w:t>ОКиО</w:t>
      </w:r>
      <w:proofErr w:type="spellEnd"/>
      <w:r>
        <w:rPr>
          <w:b/>
          <w:bCs/>
          <w:color w:val="CD1619"/>
        </w:rPr>
        <w:t xml:space="preserve"> электронной форме в срок до 15 числа </w:t>
      </w:r>
      <w:proofErr w:type="spellStart"/>
      <w:r>
        <w:rPr>
          <w:b/>
          <w:bCs/>
          <w:color w:val="CD1619"/>
        </w:rPr>
        <w:t>текушего</w:t>
      </w:r>
      <w:proofErr w:type="spellEnd"/>
      <w:r>
        <w:rPr>
          <w:b/>
          <w:bCs/>
          <w:color w:val="CD1619"/>
        </w:rPr>
        <w:t xml:space="preserve"> месяца. Печатные формы актов после проверки передаются в </w:t>
      </w:r>
      <w:proofErr w:type="spellStart"/>
      <w:r>
        <w:rPr>
          <w:b/>
          <w:bCs/>
          <w:color w:val="CD1619"/>
        </w:rPr>
        <w:t>ОКиО</w:t>
      </w:r>
      <w:proofErr w:type="spellEnd"/>
      <w:r>
        <w:rPr>
          <w:b/>
          <w:bCs/>
          <w:color w:val="CD1619"/>
        </w:rPr>
        <w:t xml:space="preserve"> не позднее 20 числа текущего месяца.</w:t>
      </w:r>
    </w:p>
    <w:p w:rsidR="001C37AE" w:rsidRDefault="001C37AE" w:rsidP="001C37AE">
      <w:pPr>
        <w:pStyle w:val="a5"/>
        <w:jc w:val="both"/>
      </w:pPr>
      <w:r>
        <w:rPr>
          <w:b/>
          <w:bCs/>
        </w:rPr>
        <w:t>На документы временного хранения (брошюры)</w:t>
      </w:r>
      <w:r>
        <w:t xml:space="preserve"> список не формируется.</w:t>
      </w:r>
    </w:p>
    <w:p w:rsidR="001C37AE" w:rsidRDefault="001C37AE" w:rsidP="001C37AE">
      <w:pPr>
        <w:pStyle w:val="a5"/>
        <w:jc w:val="both"/>
      </w:pPr>
      <w:r>
        <w:t xml:space="preserve">К акту прилагаются </w:t>
      </w:r>
      <w:r>
        <w:rPr>
          <w:b/>
          <w:bCs/>
        </w:rPr>
        <w:t>книжные формуляры,</w:t>
      </w:r>
      <w:r>
        <w:t xml:space="preserve"> расставленные в алфавитном порядке.</w:t>
      </w:r>
    </w:p>
    <w:p w:rsidR="001C37AE" w:rsidRDefault="001C37AE" w:rsidP="001C37AE">
      <w:pPr>
        <w:pStyle w:val="a5"/>
        <w:jc w:val="both"/>
      </w:pPr>
      <w:r>
        <w:t xml:space="preserve">Списание </w:t>
      </w:r>
      <w:r>
        <w:rPr>
          <w:b/>
          <w:bCs/>
        </w:rPr>
        <w:t>документов, состоящих на бухгалтерском учете</w:t>
      </w:r>
      <w:r>
        <w:t xml:space="preserve">, производится с применением </w:t>
      </w:r>
      <w:proofErr w:type="spellStart"/>
      <w:r>
        <w:t>переоценочных</w:t>
      </w:r>
      <w:proofErr w:type="spellEnd"/>
      <w:r>
        <w:t xml:space="preserve"> коэффициентов. </w:t>
      </w:r>
      <w:proofErr w:type="spellStart"/>
      <w:r>
        <w:t>Переоценочный</w:t>
      </w:r>
      <w:proofErr w:type="spellEnd"/>
      <w:r>
        <w:t xml:space="preserve"> коэффициент применяется в соответствии с годом поступления документа в фонд библиотеки. </w:t>
      </w:r>
    </w:p>
    <w:p w:rsidR="001C37AE" w:rsidRDefault="001C37AE" w:rsidP="001C37AE">
      <w:pPr>
        <w:pStyle w:val="a8"/>
        <w:jc w:val="both"/>
      </w:pPr>
      <w:r>
        <w:rPr>
          <w:b/>
          <w:bCs/>
          <w:color w:val="CD1619"/>
        </w:rPr>
        <w:t xml:space="preserve">Акты на исключение документов передаются в </w:t>
      </w:r>
      <w:proofErr w:type="spellStart"/>
      <w:r>
        <w:rPr>
          <w:b/>
          <w:bCs/>
          <w:color w:val="CD1619"/>
        </w:rPr>
        <w:t>ОКиО</w:t>
      </w:r>
      <w:proofErr w:type="spellEnd"/>
      <w:r>
        <w:rPr>
          <w:b/>
          <w:bCs/>
          <w:color w:val="CD1619"/>
        </w:rPr>
        <w:t xml:space="preserve"> для включения в бухгалтерский отчет не позднее 20-го числа текущего месяца. </w:t>
      </w:r>
    </w:p>
    <w:p w:rsidR="001C37AE" w:rsidRDefault="001C37AE" w:rsidP="001C37AE">
      <w:pPr>
        <w:pStyle w:val="a5"/>
        <w:jc w:val="both"/>
      </w:pPr>
      <w:r>
        <w:t xml:space="preserve">Выбывшие из фонда документы исключаются из регистров </w:t>
      </w:r>
      <w:r>
        <w:rPr>
          <w:b/>
          <w:bCs/>
        </w:rPr>
        <w:t>индивидуального</w:t>
      </w:r>
      <w:r>
        <w:t xml:space="preserve"> (инвентарные книги, карточки учетного каталога) и </w:t>
      </w:r>
      <w:r>
        <w:rPr>
          <w:b/>
          <w:bCs/>
        </w:rPr>
        <w:t xml:space="preserve">суммарного </w:t>
      </w:r>
      <w:r>
        <w:t>(Книга суммарного учета библиотечного фонда) учета после утверждения акта директором и снятия с баланса МБУК Ростовская-на-Дону городская ЦБС. Соответствующие отметки в регистрах индивидуального учета (инвентарной книге, учетном каталоге) об исключении изданий из фонда, производятся в месячный срок после получения утвержденного акта.</w:t>
      </w:r>
    </w:p>
    <w:p w:rsidR="001C37AE" w:rsidRDefault="001C37AE" w:rsidP="001C37AE">
      <w:pPr>
        <w:pStyle w:val="a5"/>
        <w:jc w:val="both"/>
        <w:rPr>
          <w:b/>
          <w:bCs/>
        </w:rPr>
      </w:pPr>
      <w:r>
        <w:rPr>
          <w:b/>
          <w:bCs/>
        </w:rPr>
        <w:lastRenderedPageBreak/>
        <w:t xml:space="preserve">В регистрах индивидуального учета проставляется отметка об исключении из библиотечного фонда: </w:t>
      </w:r>
    </w:p>
    <w:p w:rsidR="001C37AE" w:rsidRDefault="001C37AE" w:rsidP="001C37AE">
      <w:pPr>
        <w:pStyle w:val="a5"/>
        <w:ind w:left="700" w:hanging="360"/>
        <w:jc w:val="both"/>
      </w:pPr>
      <w:r>
        <w:t>в инвентарных книгах в графе «Номер и дата акта о выбытии» указывается номер и дата акта. Инвентарный номер и цена выбывших документов зачеркиваются;</w:t>
      </w:r>
    </w:p>
    <w:p w:rsidR="001C37AE" w:rsidRDefault="001C37AE" w:rsidP="001C37AE">
      <w:pPr>
        <w:pStyle w:val="a5"/>
        <w:ind w:left="700" w:hanging="360"/>
        <w:jc w:val="both"/>
      </w:pPr>
      <w:r>
        <w:t xml:space="preserve"> карточке учетного каталога: </w:t>
      </w:r>
    </w:p>
    <w:p w:rsidR="001C37AE" w:rsidRDefault="001C37AE" w:rsidP="001C37AE">
      <w:pPr>
        <w:pStyle w:val="a5"/>
        <w:ind w:left="700" w:hanging="360"/>
        <w:jc w:val="both"/>
      </w:pPr>
      <w:r>
        <w:t>в случае если в фонде имеются несколько экз. документов, инвентарный номер зачеркивается и напротив номера указывается номер и дата акта об исключении;</w:t>
      </w:r>
    </w:p>
    <w:p w:rsidR="001C37AE" w:rsidRDefault="001C37AE" w:rsidP="001C37AE">
      <w:pPr>
        <w:pStyle w:val="a5"/>
        <w:ind w:left="700" w:hanging="360"/>
        <w:jc w:val="both"/>
      </w:pPr>
      <w:r>
        <w:t>в случае если все экз. документа списаны последний инвентарный номер зачеркивается, напротив номера указывается номер и дата акта об исключении. Карточка на исключенные документы изымается из учетного каталога и расставляется в отдельный каталог списанных документов;</w:t>
      </w:r>
    </w:p>
    <w:p w:rsidR="001C37AE" w:rsidRDefault="001C37AE" w:rsidP="001C37AE">
      <w:pPr>
        <w:pStyle w:val="a5"/>
        <w:ind w:left="700" w:hanging="360"/>
        <w:jc w:val="both"/>
      </w:pPr>
      <w:r>
        <w:t>в случае если в фонде имеется один экз. документа на обороте карточки указывается номер и дата акта об исключении. Карточка на исключенные документы изымается из основного каталога и расставляется каталог списанных документов.</w:t>
      </w:r>
    </w:p>
    <w:p w:rsidR="001C37AE" w:rsidRDefault="001C37AE" w:rsidP="001C37AE">
      <w:pPr>
        <w:pStyle w:val="a5"/>
        <w:jc w:val="both"/>
      </w:pPr>
    </w:p>
    <w:p w:rsidR="001C37AE" w:rsidRDefault="001C37AE" w:rsidP="001C37AE">
      <w:pPr>
        <w:pStyle w:val="a5"/>
        <w:jc w:val="both"/>
        <w:rPr>
          <w:b/>
          <w:bCs/>
        </w:rPr>
      </w:pPr>
      <w:r>
        <w:rPr>
          <w:b/>
          <w:bCs/>
        </w:rPr>
        <w:t>Акты на исключение документов библиотечного фонда:</w:t>
      </w:r>
    </w:p>
    <w:p w:rsidR="001C37AE" w:rsidRDefault="001C37AE" w:rsidP="001C37AE">
      <w:pPr>
        <w:pStyle w:val="a5"/>
        <w:jc w:val="both"/>
      </w:pPr>
      <w:r>
        <w:t xml:space="preserve">регистрируется в </w:t>
      </w:r>
      <w:proofErr w:type="spellStart"/>
      <w:r>
        <w:t>ОКиО</w:t>
      </w:r>
      <w:proofErr w:type="spellEnd"/>
      <w:r>
        <w:t xml:space="preserve">, </w:t>
      </w:r>
    </w:p>
    <w:p w:rsidR="001C37AE" w:rsidRDefault="001C37AE" w:rsidP="001C37AE">
      <w:pPr>
        <w:pStyle w:val="a5"/>
        <w:ind w:left="700" w:hanging="360"/>
        <w:jc w:val="both"/>
      </w:pPr>
      <w:r>
        <w:t>утверждаются директором,</w:t>
      </w:r>
    </w:p>
    <w:p w:rsidR="001C37AE" w:rsidRDefault="001C37AE" w:rsidP="001C37AE">
      <w:pPr>
        <w:pStyle w:val="a5"/>
        <w:ind w:left="700" w:hanging="360"/>
        <w:jc w:val="both"/>
      </w:pPr>
      <w:r>
        <w:t xml:space="preserve">включается в бухгалтерский отчет для снятия с баланса МБУК Ростовская-на-Дону городская ЦБС. </w:t>
      </w:r>
    </w:p>
    <w:p w:rsidR="001C37AE" w:rsidRDefault="001C37AE" w:rsidP="001C37AE">
      <w:pPr>
        <w:pStyle w:val="a5"/>
      </w:pPr>
    </w:p>
    <w:p w:rsidR="001C37AE" w:rsidRDefault="001C37AE" w:rsidP="001C37AE">
      <w:pPr>
        <w:pStyle w:val="a5"/>
      </w:pPr>
      <w:r>
        <w:t>После утверждения акта директором и снятия с баланса МБУК Ростовская-на-Дону городская ЦБС в Г</w:t>
      </w:r>
      <w:r>
        <w:rPr>
          <w:b/>
          <w:bCs/>
        </w:rPr>
        <w:t>енеральном алфавитном учетном каталоге, Электронном каталоге МБУК РГЦБС</w:t>
      </w:r>
      <w:r>
        <w:t xml:space="preserve"> проставляется соответствующая пометка об исключении изданий из фонда структурного подразделения.</w:t>
      </w:r>
    </w:p>
    <w:p w:rsidR="001C37AE" w:rsidRDefault="001C37AE" w:rsidP="001C37AE">
      <w:pPr>
        <w:pStyle w:val="a9"/>
        <w:rPr>
          <w:sz w:val="22"/>
          <w:szCs w:val="22"/>
        </w:rPr>
      </w:pPr>
    </w:p>
    <w:p w:rsidR="001C37AE" w:rsidRDefault="001C37AE" w:rsidP="001C37A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Норматив списания (%) и график подготовки </w:t>
      </w:r>
      <w:r>
        <w:rPr>
          <w:sz w:val="22"/>
          <w:szCs w:val="22"/>
        </w:rPr>
        <w:br/>
        <w:t>и предоставления актов на исключение в 2021 г.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8"/>
        <w:gridCol w:w="4677"/>
        <w:gridCol w:w="1913"/>
        <w:gridCol w:w="1563"/>
      </w:tblGrid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center"/>
            </w:pPr>
            <w:r>
              <w:rPr>
                <w:b/>
                <w:bCs/>
                <w:w w:val="110"/>
                <w:sz w:val="18"/>
                <w:szCs w:val="18"/>
              </w:rPr>
              <w:t>Филиал №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center"/>
            </w:pPr>
            <w:r>
              <w:rPr>
                <w:b/>
                <w:bCs/>
                <w:w w:val="110"/>
                <w:sz w:val="18"/>
                <w:szCs w:val="18"/>
              </w:rPr>
              <w:t>Наименование филиала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center"/>
            </w:pPr>
            <w:r>
              <w:rPr>
                <w:b/>
                <w:bCs/>
                <w:w w:val="110"/>
                <w:sz w:val="18"/>
                <w:szCs w:val="18"/>
              </w:rPr>
              <w:t xml:space="preserve">Срок предоставления актов на исключение в </w:t>
            </w:r>
            <w:proofErr w:type="spellStart"/>
            <w:r>
              <w:rPr>
                <w:b/>
                <w:bCs/>
                <w:w w:val="110"/>
                <w:sz w:val="18"/>
                <w:szCs w:val="18"/>
              </w:rPr>
              <w:t>ОКиО</w:t>
            </w:r>
            <w:proofErr w:type="spellEnd"/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center"/>
            </w:pPr>
            <w:r>
              <w:rPr>
                <w:b/>
                <w:bCs/>
                <w:w w:val="110"/>
                <w:sz w:val="18"/>
                <w:szCs w:val="18"/>
              </w:rPr>
              <w:t>Объем исключенных документов в % от общего объема фонда на 01.01.2021 г.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1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Библиотечно-информационный центр имени Ю.А. Гагарина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1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№2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А.И. Куприна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3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Библиотечно-информационный центр имени А.И. Герцена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4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С.А. Есенина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5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 xml:space="preserve">Библиотека имени А.М. </w:t>
            </w:r>
            <w:proofErr w:type="spellStart"/>
            <w:r>
              <w:rPr>
                <w:w w:val="110"/>
                <w:sz w:val="18"/>
                <w:szCs w:val="18"/>
              </w:rPr>
              <w:t>Листопадова</w:t>
            </w:r>
            <w:proofErr w:type="spellEnd"/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6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А.А. Фадеева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7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Технико-экономическая библиотека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8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 xml:space="preserve">Библиотека имени В.А. </w:t>
            </w:r>
            <w:proofErr w:type="spellStart"/>
            <w:r>
              <w:rPr>
                <w:w w:val="110"/>
                <w:sz w:val="18"/>
                <w:szCs w:val="18"/>
              </w:rPr>
              <w:t>Закруткина</w:t>
            </w:r>
            <w:proofErr w:type="spellEnd"/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1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9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Библиотечно-информационный центр имени М.В. Ломоносова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11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Т.Г. Шевченко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1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lastRenderedPageBreak/>
              <w:t>Филиал № 12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А. Серафимовича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13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М.Ю. Лермонтова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1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14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А.В. Калинина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15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Библиотечно-информационный центр имени А.П. Чехова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16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А.С. Пушкина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17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Н.А. Некрасова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18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В.М. Шукшина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19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А.И. Солженицына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20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А.С. Грина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21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Библиотечно-информационный центр имени И.С. Тургенева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22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Н.М. Карамзина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23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В.Г. Белинского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24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И.В. Мичурина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26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Краеведческий библиотечно-информационный центр имени М.А. Шолохова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27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Библиотечно-информационный центр имени Н.А. Островского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28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Библиотечно-информационный центр имени Н.Г. Чернышевского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1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29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Публичный центр правовой информации имени Г.В. Плеханова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30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Библиотека имени Н.К. Крупской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32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Детская библиотека имени В.В. Маяковского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34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Детская библиотека имени В.П. Чкалова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36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Детская библиотека имени А.С. Пушкина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37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Детская библиотека имени А.В. Луначарского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1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38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Детская библиотека имени П.В. Лебеденко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39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Детская библиотека имени Ильича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1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40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Детская библиотека имени А.П. Гайдара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1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41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Центральная городская детская библиотека имени В.И. Ленина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1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42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Библиотечно-информационный центр имени академика Д.С. Лихачева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lastRenderedPageBreak/>
              <w:t>Филиал № 43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 xml:space="preserve">Детская библиотека имени П.Г. </w:t>
            </w:r>
            <w:proofErr w:type="spellStart"/>
            <w:r>
              <w:rPr>
                <w:w w:val="110"/>
                <w:sz w:val="18"/>
                <w:szCs w:val="18"/>
              </w:rPr>
              <w:t>Аматуни</w:t>
            </w:r>
            <w:proofErr w:type="spellEnd"/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44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Детская библиотека имени Зои Космодемьянской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45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Детский библиотечно-информационный центр имени академика С.П. Королёва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№47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 xml:space="preserve">Детская библиотека имени А.Л. </w:t>
            </w:r>
            <w:proofErr w:type="spellStart"/>
            <w:r>
              <w:rPr>
                <w:w w:val="110"/>
                <w:sz w:val="18"/>
                <w:szCs w:val="18"/>
              </w:rPr>
              <w:t>Барто</w:t>
            </w:r>
            <w:proofErr w:type="spellEnd"/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№48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Детская библиотека имени К.И. Чуковского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1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 51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Детская библиотека имени М.И. Ульяновой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1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№46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 xml:space="preserve">Центральная городская библиотека имени М. Горького, </w:t>
            </w:r>
            <w:proofErr w:type="spellStart"/>
            <w:r>
              <w:rPr>
                <w:w w:val="110"/>
                <w:sz w:val="18"/>
                <w:szCs w:val="18"/>
              </w:rPr>
              <w:t>Чит</w:t>
            </w:r>
            <w:proofErr w:type="spellEnd"/>
            <w:r>
              <w:rPr>
                <w:w w:val="110"/>
                <w:sz w:val="18"/>
                <w:szCs w:val="18"/>
              </w:rPr>
              <w:t>. зал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№46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Центральная городская библиотека имени М. Горького, Абонемент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№46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Центральная городская библиотека имени М. Горького, МНО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№46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Центральная городская библиотека имени М. Горького, ИНО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Филиал №46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 xml:space="preserve">Центральная городская библиотека имени М. Горького, </w:t>
            </w:r>
            <w:proofErr w:type="spellStart"/>
            <w:r>
              <w:rPr>
                <w:w w:val="110"/>
                <w:sz w:val="18"/>
                <w:szCs w:val="18"/>
              </w:rPr>
              <w:t>ОСБиИР</w:t>
            </w:r>
            <w:proofErr w:type="spellEnd"/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3 квартал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5"/>
              <w:jc w:val="left"/>
            </w:pPr>
            <w:r>
              <w:rPr>
                <w:w w:val="110"/>
                <w:sz w:val="18"/>
                <w:szCs w:val="18"/>
              </w:rPr>
              <w:t>2,5%</w:t>
            </w:r>
          </w:p>
        </w:tc>
      </w:tr>
    </w:tbl>
    <w:p w:rsidR="001C37AE" w:rsidRDefault="001C37AE" w:rsidP="001C37AE">
      <w:pPr>
        <w:pStyle w:val="a5"/>
        <w:rPr>
          <w:w w:val="110"/>
        </w:rPr>
      </w:pPr>
    </w:p>
    <w:p w:rsidR="001C37AE" w:rsidRDefault="001C37AE" w:rsidP="001C37AE">
      <w:pPr>
        <w:pStyle w:val="a9"/>
        <w:rPr>
          <w:sz w:val="22"/>
          <w:szCs w:val="22"/>
        </w:rPr>
      </w:pPr>
      <w:r>
        <w:rPr>
          <w:sz w:val="22"/>
          <w:szCs w:val="22"/>
        </w:rPr>
        <w:t xml:space="preserve">График проведения плановой проверки библиотечного фонда </w:t>
      </w:r>
      <w:r>
        <w:rPr>
          <w:sz w:val="22"/>
          <w:szCs w:val="22"/>
        </w:rPr>
        <w:br/>
        <w:t>в филиалах МБУК Ростовская-на-Дону городская ЦБС</w:t>
      </w:r>
      <w:r>
        <w:rPr>
          <w:sz w:val="22"/>
          <w:szCs w:val="22"/>
        </w:rPr>
        <w:br/>
        <w:t>на 2021 год.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89"/>
        <w:gridCol w:w="2112"/>
        <w:gridCol w:w="2616"/>
        <w:gridCol w:w="1555"/>
      </w:tblGrid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/>
        </w:trPr>
        <w:tc>
          <w:tcPr>
            <w:tcW w:w="4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w w:val="110"/>
              </w:rPr>
              <w:t>СП РГЦБС</w:t>
            </w:r>
          </w:p>
        </w:tc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  <w:rPr>
                <w:b/>
                <w:bCs/>
                <w:w w:val="110"/>
              </w:rPr>
            </w:pPr>
            <w:r>
              <w:rPr>
                <w:b/>
                <w:bCs/>
                <w:w w:val="110"/>
              </w:rPr>
              <w:t>Срок сдачи</w:t>
            </w:r>
          </w:p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w w:val="110"/>
              </w:rPr>
              <w:t xml:space="preserve">учетного каталога на сверку в </w:t>
            </w:r>
            <w:proofErr w:type="spellStart"/>
            <w:r>
              <w:rPr>
                <w:b/>
                <w:bCs/>
                <w:w w:val="110"/>
              </w:rPr>
              <w:t>ОКиО</w:t>
            </w:r>
            <w:proofErr w:type="spellEnd"/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w w:val="110"/>
              </w:rPr>
              <w:t>Срок сдачи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w w:val="110"/>
              </w:rPr>
              <w:t>График выездов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4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both"/>
            </w:pPr>
            <w:r>
              <w:t>Филиал № 1 Библиотечно-информационный центр имени Ю.А. Гагарина</w:t>
            </w:r>
          </w:p>
        </w:tc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01.06.2021 г. - 29.09.2021 г.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До 11.10.2021 г.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Май, август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4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both"/>
            </w:pPr>
            <w:r>
              <w:t>Филиал №22 Библиотека имени Н.М. Карамзина</w:t>
            </w:r>
          </w:p>
        </w:tc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26.08.2021 г. - 31.12.2021 г.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До 20.01.2022 г.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Июль, ноябрь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4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both"/>
            </w:pPr>
            <w:r>
              <w:t>Филиал №36 Детская библиотека имени А.С. Пушкина</w:t>
            </w:r>
          </w:p>
        </w:tc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01.09.2021 г.-12.12.2021 г.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До 21.12.2021 г.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Август, ноябрь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4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both"/>
            </w:pPr>
            <w:r>
              <w:t>Филиал №39 Детская библиотека имени Ильича</w:t>
            </w:r>
          </w:p>
        </w:tc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01.04.2020 г.-18.10.2021 г.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До 02.11.2021 г.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Март, сентябрь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4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both"/>
            </w:pPr>
            <w:r>
              <w:t>Филиал №40 Детская библиотека имени А.П. Гайдара</w:t>
            </w:r>
          </w:p>
        </w:tc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01.03.2020 г.-09.08.2021 г.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До 23.08.2021 г.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t>Февраль, июнь</w:t>
            </w:r>
          </w:p>
        </w:tc>
      </w:tr>
    </w:tbl>
    <w:p w:rsidR="001C37AE" w:rsidRDefault="001C37AE" w:rsidP="001C37AE">
      <w:pPr>
        <w:pStyle w:val="a5"/>
        <w:rPr>
          <w:w w:val="110"/>
        </w:rPr>
      </w:pPr>
    </w:p>
    <w:p w:rsidR="001C37AE" w:rsidRDefault="001C37AE" w:rsidP="001C37AE">
      <w:pPr>
        <w:pStyle w:val="a9"/>
        <w:rPr>
          <w:sz w:val="22"/>
          <w:szCs w:val="22"/>
        </w:rPr>
      </w:pPr>
    </w:p>
    <w:p w:rsidR="001C37AE" w:rsidRDefault="001C37AE" w:rsidP="001C37AE">
      <w:pPr>
        <w:pStyle w:val="a9"/>
        <w:rPr>
          <w:sz w:val="22"/>
          <w:szCs w:val="22"/>
        </w:rPr>
      </w:pPr>
    </w:p>
    <w:p w:rsidR="001C37AE" w:rsidRDefault="001C37AE" w:rsidP="001C37AE">
      <w:pPr>
        <w:pStyle w:val="a9"/>
        <w:rPr>
          <w:sz w:val="22"/>
          <w:szCs w:val="22"/>
        </w:rPr>
      </w:pPr>
    </w:p>
    <w:p w:rsidR="001C37AE" w:rsidRDefault="001C37AE" w:rsidP="001C37AE">
      <w:pPr>
        <w:pStyle w:val="a9"/>
        <w:rPr>
          <w:sz w:val="22"/>
          <w:szCs w:val="22"/>
        </w:rPr>
      </w:pPr>
    </w:p>
    <w:p w:rsidR="001C37AE" w:rsidRDefault="001C37AE" w:rsidP="001C37AE">
      <w:pPr>
        <w:pStyle w:val="a9"/>
        <w:rPr>
          <w:sz w:val="22"/>
          <w:szCs w:val="22"/>
        </w:rPr>
      </w:pPr>
    </w:p>
    <w:p w:rsidR="001C37AE" w:rsidRDefault="001C37AE" w:rsidP="001C37AE">
      <w:pPr>
        <w:pStyle w:val="a9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Новая схема годового отчета раздел 10. </w:t>
      </w:r>
      <w:r>
        <w:rPr>
          <w:sz w:val="22"/>
          <w:szCs w:val="22"/>
        </w:rPr>
        <w:br/>
        <w:t xml:space="preserve">Документные фонды 10.1.Формирование библиотечного </w:t>
      </w:r>
      <w:r>
        <w:rPr>
          <w:sz w:val="22"/>
          <w:szCs w:val="22"/>
        </w:rPr>
        <w:br/>
        <w:t>фонда на физических (материальных) носителях информации</w:t>
      </w:r>
    </w:p>
    <w:p w:rsidR="001C37AE" w:rsidRDefault="001C37AE" w:rsidP="001C37AE">
      <w:pPr>
        <w:pStyle w:val="a5"/>
        <w:rPr>
          <w:w w:val="110"/>
          <w:sz w:val="12"/>
          <w:szCs w:val="12"/>
        </w:rPr>
      </w:pPr>
      <w:r>
        <w:rPr>
          <w:w w:val="110"/>
        </w:rPr>
        <w:tab/>
      </w:r>
      <w:r>
        <w:rPr>
          <w:w w:val="110"/>
          <w:sz w:val="16"/>
          <w:szCs w:val="16"/>
        </w:rPr>
        <w:t xml:space="preserve"> </w:t>
      </w:r>
    </w:p>
    <w:p w:rsidR="001C37AE" w:rsidRDefault="001C37AE" w:rsidP="001C37AE">
      <w:pPr>
        <w:pStyle w:val="a5"/>
        <w:ind w:left="340" w:firstLine="0"/>
        <w:jc w:val="left"/>
        <w:rPr>
          <w:i/>
          <w:iCs/>
          <w:w w:val="110"/>
          <w:sz w:val="20"/>
          <w:szCs w:val="20"/>
        </w:rPr>
      </w:pPr>
      <w:r>
        <w:rPr>
          <w:w w:val="110"/>
          <w:sz w:val="22"/>
          <w:szCs w:val="22"/>
        </w:rPr>
        <w:t>­</w:t>
      </w:r>
      <w:r>
        <w:rPr>
          <w:w w:val="110"/>
          <w:sz w:val="22"/>
          <w:szCs w:val="22"/>
        </w:rPr>
        <w:tab/>
        <w:t xml:space="preserve"> </w:t>
      </w:r>
      <w:r>
        <w:rPr>
          <w:i/>
          <w:iCs/>
          <w:w w:val="110"/>
          <w:sz w:val="20"/>
          <w:szCs w:val="20"/>
        </w:rPr>
        <w:t>Анализ объемов новых поступлений, сравнение с прошлым годом;</w:t>
      </w:r>
    </w:p>
    <w:p w:rsidR="001C37AE" w:rsidRDefault="001C37AE" w:rsidP="001C37AE">
      <w:pPr>
        <w:pStyle w:val="a5"/>
        <w:ind w:left="340" w:firstLine="0"/>
        <w:jc w:val="left"/>
        <w:rPr>
          <w:w w:val="110"/>
          <w:sz w:val="22"/>
          <w:szCs w:val="22"/>
        </w:rPr>
      </w:pPr>
      <w:r>
        <w:rPr>
          <w:i/>
          <w:iCs/>
          <w:w w:val="110"/>
          <w:sz w:val="20"/>
          <w:szCs w:val="20"/>
        </w:rPr>
        <w:t>­</w:t>
      </w:r>
      <w:r>
        <w:rPr>
          <w:i/>
          <w:iCs/>
          <w:w w:val="110"/>
          <w:sz w:val="20"/>
          <w:szCs w:val="20"/>
        </w:rPr>
        <w:tab/>
        <w:t>Анализ по видовому составу новых поступлений.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4"/>
        <w:gridCol w:w="1745"/>
        <w:gridCol w:w="1744"/>
        <w:gridCol w:w="1744"/>
        <w:gridCol w:w="1744"/>
        <w:gridCol w:w="1745"/>
      </w:tblGrid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7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Новые поступления по видам документов</w:t>
            </w:r>
          </w:p>
        </w:tc>
        <w:tc>
          <w:tcPr>
            <w:tcW w:w="3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2019 год</w:t>
            </w:r>
          </w:p>
        </w:tc>
        <w:tc>
          <w:tcPr>
            <w:tcW w:w="3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2020 год</w:t>
            </w:r>
          </w:p>
        </w:tc>
        <w:tc>
          <w:tcPr>
            <w:tcW w:w="17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Динамика роста</w:t>
            </w:r>
            <w:r>
              <w:rPr>
                <w:b/>
                <w:bCs/>
                <w:sz w:val="18"/>
                <w:szCs w:val="18"/>
              </w:rPr>
              <w:br/>
              <w:t>(+, - )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7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Кол-во экз.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% от общего количества поступлений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Кол-во экз.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% от общего количества поступлений</w:t>
            </w:r>
          </w:p>
        </w:tc>
        <w:tc>
          <w:tcPr>
            <w:tcW w:w="17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sz w:val="18"/>
                <w:szCs w:val="18"/>
              </w:rPr>
              <w:t xml:space="preserve">Количество новых поступлений (экз.) ВСЕГО: 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sz w:val="18"/>
                <w:szCs w:val="18"/>
              </w:rPr>
              <w:t>В том числе по видам: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sz w:val="18"/>
                <w:szCs w:val="18"/>
              </w:rPr>
              <w:t xml:space="preserve"> Книги 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w w:val="110"/>
                <w:sz w:val="18"/>
                <w:szCs w:val="18"/>
              </w:rPr>
              <w:t>Электронные издания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w w:val="110"/>
                <w:sz w:val="18"/>
                <w:szCs w:val="18"/>
              </w:rPr>
              <w:t>Газеты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w w:val="110"/>
                <w:sz w:val="18"/>
                <w:szCs w:val="18"/>
              </w:rPr>
              <w:t xml:space="preserve">Журналы 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w w:val="110"/>
                <w:sz w:val="18"/>
                <w:szCs w:val="18"/>
              </w:rPr>
              <w:t>Документы в специальных форматах для слепых и слабовидящих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</w:tbl>
    <w:p w:rsidR="001C37AE" w:rsidRDefault="001C37AE" w:rsidP="001C37AE">
      <w:pPr>
        <w:pStyle w:val="a5"/>
        <w:jc w:val="left"/>
        <w:rPr>
          <w:i/>
          <w:iCs/>
          <w:w w:val="110"/>
          <w:sz w:val="20"/>
          <w:szCs w:val="20"/>
        </w:rPr>
      </w:pPr>
      <w:r>
        <w:rPr>
          <w:w w:val="110"/>
        </w:rPr>
        <w:tab/>
        <w:t>­</w:t>
      </w:r>
      <w:r>
        <w:rPr>
          <w:w w:val="110"/>
        </w:rPr>
        <w:tab/>
      </w:r>
      <w:r>
        <w:rPr>
          <w:i/>
          <w:iCs/>
          <w:w w:val="110"/>
          <w:sz w:val="20"/>
          <w:szCs w:val="20"/>
        </w:rPr>
        <w:t>Анализ отраслевого состава новых поступлений</w:t>
      </w:r>
    </w:p>
    <w:p w:rsidR="001C37AE" w:rsidRDefault="001C37AE" w:rsidP="001C37AE">
      <w:pPr>
        <w:pStyle w:val="a5"/>
        <w:jc w:val="left"/>
        <w:rPr>
          <w:i/>
          <w:iCs/>
          <w:w w:val="110"/>
          <w:sz w:val="12"/>
          <w:szCs w:val="12"/>
        </w:rPr>
      </w:pP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0"/>
        <w:gridCol w:w="1744"/>
        <w:gridCol w:w="1745"/>
        <w:gridCol w:w="1744"/>
        <w:gridCol w:w="1744"/>
        <w:gridCol w:w="1097"/>
      </w:tblGrid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Отраслевой поток новых поступлений</w:t>
            </w:r>
          </w:p>
        </w:tc>
        <w:tc>
          <w:tcPr>
            <w:tcW w:w="3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2019 год</w:t>
            </w:r>
          </w:p>
        </w:tc>
        <w:tc>
          <w:tcPr>
            <w:tcW w:w="3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2020 год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Динамика роста(+, - )</w:t>
            </w: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Кол-во экз.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% от общего числа новых поступлений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Кол-во экз.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center"/>
            </w:pPr>
            <w:r>
              <w:rPr>
                <w:b/>
                <w:bCs/>
                <w:sz w:val="18"/>
                <w:szCs w:val="18"/>
              </w:rPr>
              <w:t>% от общего числа новых поступлений</w:t>
            </w: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sz w:val="18"/>
                <w:szCs w:val="18"/>
              </w:rPr>
              <w:t>Социальные (общественные) и гуманитарные науки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sz w:val="18"/>
                <w:szCs w:val="18"/>
              </w:rPr>
              <w:t xml:space="preserve">Естественные науки 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sz w:val="18"/>
                <w:szCs w:val="18"/>
              </w:rPr>
              <w:t>Технические науки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sz w:val="18"/>
                <w:szCs w:val="18"/>
              </w:rPr>
              <w:t>Сельскохозяйственные науки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sz w:val="18"/>
                <w:szCs w:val="18"/>
              </w:rPr>
              <w:t>Искусствознание, физическая культура и спорт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sz w:val="18"/>
                <w:szCs w:val="18"/>
              </w:rPr>
              <w:t>Художественная литература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sz w:val="18"/>
                <w:szCs w:val="18"/>
              </w:rPr>
              <w:t>Детская литература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sz w:val="18"/>
                <w:szCs w:val="18"/>
              </w:rPr>
              <w:lastRenderedPageBreak/>
              <w:t>Прочие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1C3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/>
        </w:trPr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a"/>
              <w:jc w:val="left"/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7AE" w:rsidRDefault="001C37AE">
            <w:pPr>
              <w:pStyle w:val="a3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</w:tbl>
    <w:p w:rsidR="001C37AE" w:rsidRDefault="001C37AE" w:rsidP="001C37AE">
      <w:pPr>
        <w:pStyle w:val="a5"/>
        <w:jc w:val="center"/>
        <w:rPr>
          <w:w w:val="110"/>
        </w:rPr>
      </w:pPr>
      <w:r>
        <w:rPr>
          <w:w w:val="110"/>
        </w:rPr>
        <w:t xml:space="preserve"> </w:t>
      </w:r>
    </w:p>
    <w:p w:rsidR="001C37AE" w:rsidRDefault="001C37AE" w:rsidP="001C37AE">
      <w:pPr>
        <w:pStyle w:val="a5"/>
        <w:jc w:val="center"/>
        <w:rPr>
          <w:w w:val="110"/>
          <w:sz w:val="22"/>
          <w:szCs w:val="22"/>
        </w:rPr>
      </w:pPr>
      <w:r>
        <w:rPr>
          <w:w w:val="110"/>
          <w:sz w:val="22"/>
          <w:szCs w:val="22"/>
        </w:rPr>
        <w:t>Основные проблемы, возникавшие при комплектовании фонда.</w:t>
      </w:r>
    </w:p>
    <w:p w:rsidR="001C37AE" w:rsidRDefault="001C37AE" w:rsidP="001C37AE">
      <w:pPr>
        <w:pStyle w:val="a5"/>
        <w:jc w:val="center"/>
        <w:rPr>
          <w:w w:val="110"/>
          <w:sz w:val="22"/>
          <w:szCs w:val="22"/>
        </w:rPr>
      </w:pPr>
      <w:r>
        <w:rPr>
          <w:w w:val="110"/>
          <w:sz w:val="22"/>
          <w:szCs w:val="22"/>
        </w:rPr>
        <w:t>ФОРМИРОВАНИЕ И ИСПОЛЬЗОВАНИЕ ФОНДА ЭЛЕКТРОННЫХ СЕТЕВЫХ РЕСУРСОВ</w:t>
      </w:r>
    </w:p>
    <w:p w:rsidR="001C37AE" w:rsidRDefault="001C37AE" w:rsidP="001C37AE">
      <w:pPr>
        <w:pStyle w:val="a5"/>
        <w:jc w:val="both"/>
        <w:rPr>
          <w:w w:val="110"/>
          <w:sz w:val="22"/>
          <w:szCs w:val="22"/>
        </w:rPr>
      </w:pPr>
      <w:r>
        <w:rPr>
          <w:w w:val="110"/>
          <w:sz w:val="22"/>
          <w:szCs w:val="22"/>
        </w:rPr>
        <w:t>Предоставление доступа к электронным удаленным лицензионным базам данных (БД «</w:t>
      </w:r>
      <w:proofErr w:type="spellStart"/>
      <w:r>
        <w:rPr>
          <w:w w:val="110"/>
          <w:sz w:val="22"/>
          <w:szCs w:val="22"/>
        </w:rPr>
        <w:t>Ивис</w:t>
      </w:r>
      <w:proofErr w:type="spellEnd"/>
      <w:r>
        <w:rPr>
          <w:w w:val="110"/>
          <w:sz w:val="22"/>
          <w:szCs w:val="22"/>
        </w:rPr>
        <w:t>», «</w:t>
      </w:r>
      <w:proofErr w:type="spellStart"/>
      <w:r>
        <w:rPr>
          <w:w w:val="110"/>
          <w:sz w:val="22"/>
          <w:szCs w:val="22"/>
        </w:rPr>
        <w:t>ЛитРес</w:t>
      </w:r>
      <w:proofErr w:type="spellEnd"/>
      <w:r>
        <w:rPr>
          <w:w w:val="110"/>
          <w:sz w:val="22"/>
          <w:szCs w:val="22"/>
        </w:rPr>
        <w:t>»).</w:t>
      </w:r>
    </w:p>
    <w:p w:rsidR="001C37AE" w:rsidRDefault="001C37AE" w:rsidP="001C37AE">
      <w:pPr>
        <w:pStyle w:val="a5"/>
        <w:jc w:val="both"/>
        <w:rPr>
          <w:w w:val="110"/>
          <w:sz w:val="22"/>
          <w:szCs w:val="22"/>
        </w:rPr>
      </w:pPr>
      <w:r>
        <w:rPr>
          <w:w w:val="110"/>
          <w:sz w:val="22"/>
          <w:szCs w:val="22"/>
        </w:rPr>
        <w:t>Предоставление доступа к справочно-правовым базам данных (название).</w:t>
      </w:r>
    </w:p>
    <w:p w:rsidR="001C37AE" w:rsidRDefault="001C37AE" w:rsidP="001C37AE">
      <w:pPr>
        <w:pStyle w:val="a5"/>
        <w:jc w:val="center"/>
        <w:rPr>
          <w:w w:val="110"/>
          <w:sz w:val="22"/>
          <w:szCs w:val="22"/>
        </w:rPr>
      </w:pPr>
      <w:r>
        <w:rPr>
          <w:w w:val="110"/>
          <w:sz w:val="22"/>
          <w:szCs w:val="22"/>
        </w:rPr>
        <w:t>ОБЕСПЕЧЕНИЕ СОХРАННОСТИ ФОНДОВ</w:t>
      </w:r>
    </w:p>
    <w:p w:rsidR="001C37AE" w:rsidRDefault="001C37AE" w:rsidP="001C37AE">
      <w:pPr>
        <w:pStyle w:val="a5"/>
        <w:jc w:val="left"/>
        <w:rPr>
          <w:sz w:val="22"/>
          <w:szCs w:val="22"/>
        </w:rPr>
      </w:pPr>
      <w:r>
        <w:rPr>
          <w:sz w:val="22"/>
          <w:szCs w:val="22"/>
        </w:rPr>
        <w:t>Соблюдение действующих инструкций по учету фонда.</w:t>
      </w:r>
    </w:p>
    <w:p w:rsidR="001C37AE" w:rsidRDefault="001C37AE" w:rsidP="001C37AE">
      <w:pPr>
        <w:pStyle w:val="a5"/>
        <w:jc w:val="both"/>
        <w:rPr>
          <w:w w:val="110"/>
          <w:sz w:val="22"/>
          <w:szCs w:val="22"/>
        </w:rPr>
      </w:pPr>
      <w:r>
        <w:rPr>
          <w:w w:val="110"/>
          <w:sz w:val="22"/>
          <w:szCs w:val="22"/>
        </w:rPr>
        <w:t>Работа по устранению читательской задолженности.</w:t>
      </w:r>
    </w:p>
    <w:p w:rsidR="001C37AE" w:rsidRDefault="001C37AE" w:rsidP="001C37AE">
      <w:pPr>
        <w:pStyle w:val="a5"/>
        <w:jc w:val="both"/>
        <w:rPr>
          <w:w w:val="110"/>
          <w:sz w:val="22"/>
          <w:szCs w:val="22"/>
        </w:rPr>
      </w:pPr>
      <w:r>
        <w:rPr>
          <w:w w:val="110"/>
          <w:sz w:val="22"/>
          <w:szCs w:val="22"/>
        </w:rPr>
        <w:t>Проведение (подготовка) плановой проверки библиотечного фонда (переучет).</w:t>
      </w:r>
    </w:p>
    <w:p w:rsidR="001C37AE" w:rsidRDefault="001C37AE" w:rsidP="001C37AE">
      <w:pPr>
        <w:pStyle w:val="a5"/>
        <w:jc w:val="both"/>
        <w:rPr>
          <w:w w:val="110"/>
          <w:sz w:val="22"/>
          <w:szCs w:val="22"/>
        </w:rPr>
      </w:pPr>
      <w:r>
        <w:rPr>
          <w:w w:val="110"/>
          <w:sz w:val="22"/>
          <w:szCs w:val="22"/>
        </w:rPr>
        <w:t>Аварийные ситуации в библиотеках (количество ситуаций, причины возникновения и последствия).</w:t>
      </w:r>
    </w:p>
    <w:p w:rsidR="001C37AE" w:rsidRDefault="001C37AE" w:rsidP="001C37AE">
      <w:pPr>
        <w:pStyle w:val="a5"/>
        <w:jc w:val="center"/>
        <w:rPr>
          <w:w w:val="110"/>
          <w:sz w:val="22"/>
          <w:szCs w:val="22"/>
        </w:rPr>
      </w:pPr>
      <w:r>
        <w:rPr>
          <w:w w:val="110"/>
          <w:sz w:val="22"/>
          <w:szCs w:val="22"/>
        </w:rPr>
        <w:t>РАБОТ ПО ФОРМИРОВАНИЮ И ИСПОЛЬЗОВАНИЮ ФОНДА КРАЕВЕДЧЕСКИХ ИЗДАНИЙ</w:t>
      </w:r>
    </w:p>
    <w:p w:rsidR="001C37AE" w:rsidRDefault="001C37AE" w:rsidP="001C37AE">
      <w:pPr>
        <w:pStyle w:val="a5"/>
        <w:jc w:val="both"/>
        <w:rPr>
          <w:w w:val="110"/>
          <w:sz w:val="22"/>
          <w:szCs w:val="22"/>
        </w:rPr>
      </w:pPr>
      <w:r>
        <w:rPr>
          <w:w w:val="110"/>
          <w:sz w:val="22"/>
          <w:szCs w:val="22"/>
        </w:rPr>
        <w:t>Анализ формирования и использования фондов краеведческих документов и местных изданий (движение фонда, источники поступления, выдача).</w:t>
      </w:r>
    </w:p>
    <w:p w:rsidR="001C37AE" w:rsidRDefault="001C37AE" w:rsidP="001C37AE">
      <w:pPr>
        <w:pStyle w:val="a5"/>
        <w:jc w:val="both"/>
        <w:rPr>
          <w:w w:val="110"/>
          <w:sz w:val="22"/>
          <w:szCs w:val="22"/>
        </w:rPr>
      </w:pPr>
    </w:p>
    <w:p w:rsidR="001C37AE" w:rsidRDefault="001C37AE" w:rsidP="001C37AE">
      <w:pPr>
        <w:pStyle w:val="a5"/>
        <w:jc w:val="left"/>
        <w:rPr>
          <w:w w:val="110"/>
        </w:rPr>
      </w:pPr>
      <w:r>
        <w:rPr>
          <w:w w:val="110"/>
        </w:rPr>
        <w:tab/>
      </w:r>
    </w:p>
    <w:p w:rsidR="00EA4D1E" w:rsidRDefault="001C37AE" w:rsidP="001C37AE">
      <w:pPr>
        <w:pStyle w:val="a5"/>
        <w:jc w:val="center"/>
      </w:pPr>
      <w:r>
        <w:rPr>
          <w:w w:val="110"/>
        </w:rPr>
        <w:tab/>
      </w:r>
      <w:r>
        <w:rPr>
          <w:w w:val="110"/>
        </w:rPr>
        <w:tab/>
      </w:r>
    </w:p>
    <w:sectPr w:rsidR="00EA4D1E" w:rsidSect="00C41F76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7AE"/>
    <w:rsid w:val="001C37AE"/>
    <w:rsid w:val="00C07C25"/>
    <w:rsid w:val="00EA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F2C71"/>
  <w15:chartTrackingRefBased/>
  <w15:docId w15:val="{09D682E2-A242-4341-9B3C-9BD13590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1C37AE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a4">
    <w:name w:val="ЗАГОЛОВОК СТАТЕЙ"/>
    <w:basedOn w:val="a3"/>
    <w:uiPriority w:val="99"/>
    <w:rsid w:val="001C37AE"/>
    <w:pPr>
      <w:spacing w:after="113"/>
      <w:jc w:val="center"/>
    </w:pPr>
    <w:rPr>
      <w:rFonts w:ascii="Calibri" w:hAnsi="Calibri" w:cs="Calibri"/>
      <w:b/>
      <w:bCs/>
      <w:caps/>
      <w:color w:val="273582"/>
      <w:sz w:val="26"/>
      <w:szCs w:val="26"/>
    </w:rPr>
  </w:style>
  <w:style w:type="paragraph" w:customStyle="1" w:styleId="a5">
    <w:name w:val="ОСНОВНОЙ ТЕКСТ"/>
    <w:basedOn w:val="a3"/>
    <w:uiPriority w:val="99"/>
    <w:rsid w:val="001C37AE"/>
    <w:pPr>
      <w:suppressAutoHyphens/>
      <w:spacing w:line="300" w:lineRule="atLeast"/>
      <w:ind w:firstLine="340"/>
      <w:jc w:val="distribute"/>
    </w:pPr>
    <w:rPr>
      <w:rFonts w:ascii="Calibri" w:hAnsi="Calibri" w:cs="Calibri"/>
    </w:rPr>
  </w:style>
  <w:style w:type="paragraph" w:customStyle="1" w:styleId="a6">
    <w:name w:val="МАЛ АБЗАЦ"/>
    <w:basedOn w:val="a3"/>
    <w:uiPriority w:val="99"/>
    <w:rsid w:val="001C37AE"/>
    <w:pPr>
      <w:spacing w:before="57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a7">
    <w:name w:val="рекомдации"/>
    <w:basedOn w:val="a5"/>
    <w:uiPriority w:val="99"/>
    <w:rsid w:val="001C37AE"/>
    <w:pPr>
      <w:ind w:left="113"/>
    </w:pPr>
  </w:style>
  <w:style w:type="paragraph" w:customStyle="1" w:styleId="a8">
    <w:name w:val="МЕТОД РЕКОМЕН ТЕКСТ"/>
    <w:basedOn w:val="a5"/>
    <w:uiPriority w:val="99"/>
    <w:rsid w:val="001C37AE"/>
    <w:pPr>
      <w:ind w:left="57"/>
    </w:pPr>
  </w:style>
  <w:style w:type="paragraph" w:customStyle="1" w:styleId="a9">
    <w:name w:val="ПОДЗАГОЛОВОК"/>
    <w:basedOn w:val="a"/>
    <w:uiPriority w:val="99"/>
    <w:rsid w:val="001C37AE"/>
    <w:pPr>
      <w:pBdr>
        <w:top w:val="single" w:sz="8" w:space="0" w:color="auto"/>
      </w:pBdr>
      <w:autoSpaceDE w:val="0"/>
      <w:autoSpaceDN w:val="0"/>
      <w:adjustRightInd w:val="0"/>
      <w:spacing w:after="0" w:line="340" w:lineRule="atLeast"/>
      <w:ind w:firstLine="567"/>
      <w:jc w:val="center"/>
      <w:textAlignment w:val="center"/>
    </w:pPr>
    <w:rPr>
      <w:rFonts w:ascii="Calibri" w:hAnsi="Calibri" w:cs="Calibri"/>
      <w:b/>
      <w:bCs/>
      <w:caps/>
      <w:color w:val="273582"/>
      <w:sz w:val="26"/>
      <w:szCs w:val="26"/>
      <w:u w:color="CD1619"/>
    </w:rPr>
  </w:style>
  <w:style w:type="paragraph" w:customStyle="1" w:styleId="aa">
    <w:name w:val="текст табл"/>
    <w:basedOn w:val="a3"/>
    <w:uiPriority w:val="99"/>
    <w:rsid w:val="001C37AE"/>
    <w:pPr>
      <w:pBdr>
        <w:top w:val="single" w:sz="8" w:space="0" w:color="auto"/>
      </w:pBdr>
      <w:suppressAutoHyphens/>
      <w:spacing w:line="260" w:lineRule="atLeast"/>
      <w:jc w:val="distribute"/>
    </w:pPr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2066</Words>
  <Characters>11781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КСЕНЯ ЗВЕЗДОЧЕТ</dc:creator>
  <cp:keywords/>
  <dc:description/>
  <cp:lastModifiedBy>КСЕНЯ ЗВЕЗДОЧЕТ</cp:lastModifiedBy>
  <cp:revision>2</cp:revision>
  <dcterms:created xsi:type="dcterms:W3CDTF">2020-11-05T13:43:00Z</dcterms:created>
  <dcterms:modified xsi:type="dcterms:W3CDTF">2020-11-05T13:47:00Z</dcterms:modified>
</cp:coreProperties>
</file>